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5DD5" w14:textId="77777777" w:rsidR="0091726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  <w:lang w:val="ru-RU"/>
        </w:rPr>
        <w:t>         </w:t>
      </w:r>
      <w:r>
        <w:rPr>
          <w:rFonts w:ascii="Times New Roman" w:eastAsia="Times New Roman" w:hAnsi="Times New Roman" w:cs="Times New Roman"/>
          <w:sz w:val="18"/>
        </w:rPr>
        <w:t>388758604DD749FC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360"/>
        <w:gridCol w:w="1451"/>
        <w:gridCol w:w="4252"/>
      </w:tblGrid>
      <w:tr w:rsidR="0091726F" w14:paraId="0537F207" w14:textId="77777777">
        <w:tc>
          <w:tcPr>
            <w:tcW w:w="43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5A49E2E" w14:textId="77777777" w:rsidR="0091726F" w:rsidRPr="008F194B" w:rsidRDefault="0000000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194B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С</w:t>
            </w:r>
            <w:r w:rsidRPr="008F194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Ж</w:t>
            </w:r>
            <w:r w:rsidRPr="008F194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Асфендияров</w:t>
            </w:r>
            <w:proofErr w:type="spellEnd"/>
            <w:r w:rsidRPr="008F194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атындағы</w:t>
            </w:r>
            <w:proofErr w:type="spellEnd"/>
          </w:p>
          <w:p w14:paraId="67551078" w14:textId="77777777" w:rsidR="0091726F" w:rsidRPr="008F194B" w:rsidRDefault="0000000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194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Қазақ</w:t>
            </w:r>
            <w:proofErr w:type="spellEnd"/>
            <w:r w:rsidRPr="008F194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ұлттық</w:t>
            </w:r>
            <w:proofErr w:type="spellEnd"/>
            <w:r w:rsidRPr="008F194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медицина</w:t>
            </w:r>
            <w:r w:rsidRPr="008F194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4565A98E" w14:textId="77777777" w:rsidR="0091726F" w:rsidRDefault="00000000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университеті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коммерциялық</w:t>
            </w:r>
            <w:proofErr w:type="spellEnd"/>
          </w:p>
          <w:p w14:paraId="68267DE2" w14:textId="77777777" w:rsidR="0091726F" w:rsidRDefault="00000000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емес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акционерлік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  <w:p w14:paraId="27B82404" w14:textId="77777777" w:rsidR="0091726F" w:rsidRDefault="00000000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қоғамы</w:t>
            </w:r>
            <w:proofErr w:type="spellEnd"/>
          </w:p>
        </w:tc>
        <w:tc>
          <w:tcPr>
            <w:tcW w:w="14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E4A69EB" w14:textId="77777777" w:rsidR="0091726F" w:rsidRDefault="00000000">
            <w:pPr>
              <w:rPr>
                <w:lang w:val="ru-RU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0F9EBD" wp14:editId="4B497F51">
                      <wp:extent cx="768055" cy="953734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68054" cy="9537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60.5pt;height:75.1pt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7CE4C9D" w14:textId="77777777" w:rsidR="0091726F" w:rsidRDefault="00000000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Некоммерческое </w:t>
            </w:r>
          </w:p>
          <w:p w14:paraId="705E009E" w14:textId="77777777" w:rsidR="0091726F" w:rsidRDefault="00000000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акционерное общество </w:t>
            </w:r>
          </w:p>
          <w:p w14:paraId="614AA894" w14:textId="77777777" w:rsidR="0091726F" w:rsidRDefault="00000000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Казахский национальный </w:t>
            </w:r>
          </w:p>
          <w:p w14:paraId="08322749" w14:textId="77777777" w:rsidR="0091726F" w:rsidRDefault="00000000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медицинский университет </w:t>
            </w:r>
          </w:p>
          <w:p w14:paraId="0719D61E" w14:textId="77777777" w:rsidR="0091726F" w:rsidRDefault="00000000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имени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С.Д.Асфендиярова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»</w:t>
            </w:r>
          </w:p>
        </w:tc>
      </w:tr>
    </w:tbl>
    <w:p w14:paraId="4E4CA1B3" w14:textId="77777777" w:rsidR="0091726F" w:rsidRDefault="00000000">
      <w:pPr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5200" distR="115200" simplePos="0" relativeHeight="7168" behindDoc="0" locked="0" layoutInCell="1" allowOverlap="1" wp14:anchorId="5DA62B47" wp14:editId="4AD72F5D">
                <wp:simplePos x="0" y="0"/>
                <wp:positionH relativeFrom="column">
                  <wp:posOffset>4875</wp:posOffset>
                </wp:positionH>
                <wp:positionV relativeFrom="paragraph">
                  <wp:posOffset>73742</wp:posOffset>
                </wp:positionV>
                <wp:extent cx="6400800" cy="0"/>
                <wp:effectExtent l="3175" t="3175" r="3175" b="31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" o:spid="_x0000_s2" o:spt="20" style="position:absolute;mso-wrap-distance-left:9.1pt;mso-wrap-distance-top:0.0pt;mso-wrap-distance-right:9.1pt;mso-wrap-distance-bottom:0.0pt;z-index:7168;o:allowoverlap:true;o:allowincell:true;mso-position-horizontal-relative:text;margin-left:0.4pt;mso-position-horizontal:absolute;mso-position-vertical-relative:text;margin-top:5.8pt;mso-position-vertical:absolute;width:504.0pt;height:0.0pt;flip:y;" coordsize="100000,100000" path="" filled="f" strokecolor="#000000" strokeweight="1.00pt">
                <v:path textboxrect="0,0,0,0"/>
              </v:shape>
            </w:pict>
          </mc:Fallback>
        </mc:AlternateConten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173"/>
        <w:gridCol w:w="4890"/>
      </w:tblGrid>
      <w:tr w:rsidR="0091726F" w:rsidRPr="008F194B" w14:paraId="12F7CBD3" w14:textId="77777777">
        <w:tc>
          <w:tcPr>
            <w:tcW w:w="51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CE441D7" w14:textId="77777777" w:rsidR="0091726F" w:rsidRDefault="00000000">
            <w:pPr>
              <w:pStyle w:val="a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050012, Алматы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қаласы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Төле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 би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көшесі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, 94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үй</w:t>
            </w:r>
            <w:proofErr w:type="spellEnd"/>
          </w:p>
          <w:p w14:paraId="0BBED1F1" w14:textId="77777777" w:rsidR="0091726F" w:rsidRDefault="00000000">
            <w:pPr>
              <w:pStyle w:val="a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телефон: +7/727/292-78-85, 292-79-37, 338-70-30</w:t>
            </w:r>
          </w:p>
          <w:p w14:paraId="3288AF57" w14:textId="77777777" w:rsidR="0091726F" w:rsidRDefault="00000000">
            <w:pPr>
              <w:pStyle w:val="a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факс: +7/727/292-13-88,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: info@kaznmu.kz</w:t>
            </w:r>
          </w:p>
        </w:tc>
        <w:tc>
          <w:tcPr>
            <w:tcW w:w="48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0BB7D90" w14:textId="77777777" w:rsidR="0091726F" w:rsidRDefault="00000000">
            <w:pPr>
              <w:pStyle w:val="a9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050012, город Алматы, улица Толе би, д.94</w:t>
            </w:r>
          </w:p>
          <w:p w14:paraId="73CCD8CC" w14:textId="77777777" w:rsidR="0091726F" w:rsidRDefault="00000000">
            <w:pPr>
              <w:pStyle w:val="a9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телефон: +7/727/292-78-85, 292-79-37, 338-70-30</w:t>
            </w:r>
          </w:p>
          <w:p w14:paraId="14A601FF" w14:textId="77777777" w:rsidR="0091726F" w:rsidRDefault="00000000">
            <w:pPr>
              <w:pStyle w:val="a9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 xml:space="preserve">факс: +7/727/292-13-88,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lang w:val="ru-RU"/>
              </w:rPr>
              <w:t>: info@kaznmu.kz</w:t>
            </w:r>
          </w:p>
          <w:p w14:paraId="3FA75F17" w14:textId="77777777" w:rsidR="0091726F" w:rsidRDefault="0091726F">
            <w:pPr>
              <w:pStyle w:val="a9"/>
              <w:rPr>
                <w:lang w:val="ru-RU"/>
              </w:rPr>
            </w:pPr>
          </w:p>
        </w:tc>
      </w:tr>
    </w:tbl>
    <w:p w14:paraId="475328A8" w14:textId="77777777" w:rsidR="0091726F" w:rsidRDefault="009172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173"/>
        <w:gridCol w:w="4890"/>
      </w:tblGrid>
      <w:tr w:rsidR="0091726F" w14:paraId="55FBB8EA" w14:textId="77777777">
        <w:trPr>
          <w:trHeight w:val="319"/>
        </w:trPr>
        <w:tc>
          <w:tcPr>
            <w:tcW w:w="51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C4B880D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БҰЙРЫҚ</w:t>
            </w:r>
          </w:p>
        </w:tc>
        <w:tc>
          <w:tcPr>
            <w:tcW w:w="48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AF3E73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ПРИКАЗ</w:t>
            </w:r>
          </w:p>
        </w:tc>
      </w:tr>
      <w:tr w:rsidR="0091726F" w14:paraId="4A7334F8" w14:textId="77777777">
        <w:trPr>
          <w:trHeight w:val="253"/>
        </w:trPr>
        <w:tc>
          <w:tcPr>
            <w:tcW w:w="517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4F1BB81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t xml:space="preserve">               15.08.2023</w:t>
            </w:r>
          </w:p>
        </w:tc>
        <w:tc>
          <w:tcPr>
            <w:tcW w:w="489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8B31D2E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                                     № 392</w:t>
            </w:r>
          </w:p>
        </w:tc>
      </w:tr>
      <w:tr w:rsidR="0091726F" w14:paraId="3D9D1712" w14:textId="77777777">
        <w:trPr>
          <w:trHeight w:val="115"/>
        </w:trPr>
        <w:tc>
          <w:tcPr>
            <w:tcW w:w="517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0C3DDF8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5200" distR="115200" simplePos="0" relativeHeight="4096" behindDoc="0" locked="0" layoutInCell="1" allowOverlap="1" wp14:anchorId="3C40E431" wp14:editId="207F0ABD">
                      <wp:simplePos x="0" y="0"/>
                      <wp:positionH relativeFrom="column">
                        <wp:posOffset>558505</wp:posOffset>
                      </wp:positionH>
                      <wp:positionV relativeFrom="paragraph">
                        <wp:posOffset>11350</wp:posOffset>
                      </wp:positionV>
                      <wp:extent cx="800100" cy="0"/>
                      <wp:effectExtent l="3175" t="3175" r="3175" b="31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800099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3" o:spid="_x0000_s3" o:spt="20" style="position:absolute;mso-wrap-distance-left:9.1pt;mso-wrap-distance-top:0.0pt;mso-wrap-distance-right:9.1pt;mso-wrap-distance-bottom:0.0pt;z-index:4096;o:allowoverlap:true;o:allowincell:true;mso-position-horizontal-relative:text;margin-left:44.0pt;mso-position-horizontal:absolute;mso-position-vertical-relative:text;margin-top:0.9pt;mso-position-vertical:absolute;width:63.0pt;height:0.0pt;" coordsize="100000,100000" path="" filled="f" strokecolor="#000000" strokeweight="0.50pt">
                      <v:path textboxrect="0,0,0,0"/>
                    </v:shape>
                  </w:pict>
                </mc:Fallback>
              </mc:AlternateContent>
            </w:r>
          </w:p>
        </w:tc>
        <w:tc>
          <w:tcPr>
            <w:tcW w:w="489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5273EB3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0"/>
                <w:lang w:val="ru-RU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5200" distR="115200" simplePos="0" relativeHeight="6144" behindDoc="0" locked="0" layoutInCell="1" allowOverlap="1" wp14:anchorId="44CBAD75" wp14:editId="54CA2F34">
                      <wp:simplePos x="0" y="0"/>
                      <wp:positionH relativeFrom="column">
                        <wp:posOffset>1550375</wp:posOffset>
                      </wp:positionH>
                      <wp:positionV relativeFrom="paragraph">
                        <wp:posOffset>11350</wp:posOffset>
                      </wp:positionV>
                      <wp:extent cx="506840" cy="0"/>
                      <wp:effectExtent l="3175" t="3175" r="3175" b="31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506839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>
                                  <a:shade val="50000"/>
                                </a:schemeClr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 id="shape 4" o:spid="_x0000_s4" o:spt="20" style="position:absolute;mso-wrap-distance-left:9.1pt;mso-wrap-distance-top:0.0pt;mso-wrap-distance-right:9.1pt;mso-wrap-distance-bottom:0.0pt;z-index:6144;o:allowoverlap:true;o:allowincell:true;mso-position-horizontal-relative:text;margin-left:122.1pt;mso-position-horizontal:absolute;mso-position-vertical-relative:text;margin-top:0.9pt;mso-position-vertical:absolute;width:39.9pt;height:0.0pt;flip:y;" coordsize="100000,100000" path="" filled="f" strokecolor="#000000" strokeweight="0.50pt">
                      <v:path textboxrect="0,0,0,0"/>
                    </v:shape>
                  </w:pict>
                </mc:Fallback>
              </mc:AlternateContent>
            </w:r>
          </w:p>
        </w:tc>
      </w:tr>
      <w:tr w:rsidR="0091726F" w14:paraId="675E6EB5" w14:textId="77777777">
        <w:trPr>
          <w:trHeight w:val="253"/>
        </w:trPr>
        <w:tc>
          <w:tcPr>
            <w:tcW w:w="517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E8AD04D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Алматы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қаласы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 xml:space="preserve">  </w:t>
            </w:r>
          </w:p>
        </w:tc>
        <w:tc>
          <w:tcPr>
            <w:tcW w:w="4890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E65EDBE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город Алматы</w:t>
            </w:r>
          </w:p>
        </w:tc>
      </w:tr>
    </w:tbl>
    <w:p w14:paraId="2CCA0A0B" w14:textId="77777777" w:rsidR="0091726F" w:rsidRDefault="009172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14:paraId="5DF01E3D" w14:textId="77777777" w:rsidR="0091726F" w:rsidRDefault="0091726F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5FC4E69F" w14:textId="77777777" w:rsidR="0091726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Сыбайлас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жемқорлық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тәуекелдеріне</w:t>
      </w:r>
      <w:proofErr w:type="spellEnd"/>
    </w:p>
    <w:p w14:paraId="1FD04126" w14:textId="77777777" w:rsidR="0091726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Ішкі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талдау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жүргізу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туралы</w:t>
      </w:r>
      <w:proofErr w:type="spellEnd"/>
    </w:p>
    <w:p w14:paraId="13600B0D" w14:textId="77777777" w:rsidR="0091726F" w:rsidRDefault="009172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14:paraId="6694A6B2" w14:textId="77777777" w:rsidR="0091726F" w:rsidRDefault="009172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14:paraId="6FCBE49C" w14:textId="77777777" w:rsidR="0091726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Республикасы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Сыбайлас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жемқорлыққа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іс-қимыл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Қазақстан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Республикасы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қызмет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істері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сыбайлас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жемқорлыққа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қарсы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іс-қимыл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агенттігі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Төрағасың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2016 ж. 19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№12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бұйрығымен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бекітілген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Сыбайлас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жемқорлық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тәуекелдерін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жүргізудің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үлгілік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Ережесін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басшылыққа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отырып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БҰЙЫРАМЫН:</w:t>
      </w:r>
    </w:p>
    <w:p w14:paraId="7C0E2EBA" w14:textId="77777777" w:rsidR="0091726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«С.Ж.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Асфендияров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атындағы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ұлттық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медицина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университетінде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қарай-Университет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келесі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бағыттар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сыбайлас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жемқорлық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тәуекелдеріне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ішкі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талдау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жүргізу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14:paraId="472391BA" w14:textId="77777777" w:rsidR="0091726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Университет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қызметін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қозғайтын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нормативтік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құқықтық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актілердегі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сыбайлас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жемқорлық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тәуекелдерін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анықтау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>;</w:t>
      </w:r>
    </w:p>
    <w:p w14:paraId="3A9A65A9" w14:textId="77777777" w:rsidR="0091726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202124"/>
          <w:sz w:val="28"/>
        </w:rPr>
      </w:pPr>
      <w:r>
        <w:rPr>
          <w:rFonts w:ascii="Times New Roman" w:eastAsia="Times New Roman" w:hAnsi="Times New Roman" w:cs="Times New Roman"/>
          <w:color w:val="202124"/>
          <w:sz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Университеттің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ұйымдастыру-басқару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қызметіндегі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сыбайлас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жемқорлық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тәуекелдерін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анықтау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>;</w:t>
      </w:r>
      <w:r>
        <w:rPr>
          <w:rFonts w:ascii="Times New Roman" w:eastAsia="Times New Roman" w:hAnsi="Times New Roman" w:cs="Times New Roman"/>
          <w:color w:val="202124"/>
          <w:sz w:val="28"/>
        </w:rPr>
        <w:tab/>
      </w:r>
    </w:p>
    <w:p w14:paraId="503ADD1C" w14:textId="77777777" w:rsidR="0091726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202124"/>
          <w:sz w:val="28"/>
        </w:rPr>
      </w:pPr>
      <w:r>
        <w:rPr>
          <w:rFonts w:ascii="Times New Roman" w:eastAsia="Times New Roman" w:hAnsi="Times New Roman" w:cs="Times New Roman"/>
          <w:color w:val="202124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Сыбайлас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жемқорлыққа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қарсы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ішкі-талдау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жүргізу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жемқорлыққа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қарсы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ішкі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талдау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жүргізудің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кестесіне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сәйкес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жұмыс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тобын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бекіту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>:</w:t>
      </w:r>
      <w:r>
        <w:rPr>
          <w:rFonts w:ascii="Times New Roman" w:eastAsia="Times New Roman" w:hAnsi="Times New Roman" w:cs="Times New Roman"/>
          <w:color w:val="202124"/>
          <w:sz w:val="28"/>
        </w:rPr>
        <w:tab/>
      </w:r>
    </w:p>
    <w:p w14:paraId="7D415768" w14:textId="77777777" w:rsidR="0091726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202124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Әнуар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Ә.Ә. –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комиссия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төрағасы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сыбайлас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жемқорлыққа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қарсы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комплаенс-қызметінің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комплаенс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офицері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келісім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>);</w:t>
      </w:r>
      <w:r>
        <w:rPr>
          <w:rFonts w:ascii="Times New Roman" w:eastAsia="Times New Roman" w:hAnsi="Times New Roman" w:cs="Times New Roman"/>
          <w:color w:val="202124"/>
          <w:sz w:val="28"/>
        </w:rPr>
        <w:tab/>
      </w:r>
    </w:p>
    <w:p w14:paraId="4EC3219F" w14:textId="77777777" w:rsidR="0091726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202124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Кожахметова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К.С. –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ішкі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аудит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қызметінің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басшысы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келісім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</w:rPr>
        <w:t xml:space="preserve">); </w:t>
      </w:r>
      <w:r>
        <w:rPr>
          <w:rFonts w:ascii="Times New Roman" w:eastAsia="Times New Roman" w:hAnsi="Times New Roman" w:cs="Times New Roman"/>
          <w:color w:val="202124"/>
          <w:sz w:val="28"/>
        </w:rPr>
        <w:tab/>
      </w:r>
    </w:p>
    <w:p w14:paraId="2EEDBFE2" w14:textId="77777777" w:rsidR="0091726F" w:rsidRPr="008F194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202124"/>
          <w:sz w:val="28"/>
          <w:lang w:val="ru-RU"/>
        </w:rPr>
      </w:pPr>
      <w:r w:rsidRPr="008F194B">
        <w:rPr>
          <w:rFonts w:ascii="Times New Roman" w:eastAsia="Times New Roman" w:hAnsi="Times New Roman" w:cs="Times New Roman"/>
          <w:color w:val="202124"/>
          <w:sz w:val="28"/>
          <w:lang w:val="ru-RU"/>
        </w:rPr>
        <w:t>Нагасбекова Б.С. – адам ресурстарын дамыту департаментінің басшысы;</w:t>
      </w:r>
      <w:r w:rsidRPr="008F194B">
        <w:rPr>
          <w:rFonts w:ascii="Times New Roman" w:eastAsia="Times New Roman" w:hAnsi="Times New Roman" w:cs="Times New Roman"/>
          <w:color w:val="202124"/>
          <w:sz w:val="28"/>
          <w:lang w:val="ru-RU"/>
        </w:rPr>
        <w:tab/>
      </w:r>
    </w:p>
    <w:p w14:paraId="71E702E3" w14:textId="77777777" w:rsidR="0091726F" w:rsidRPr="008F194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202124"/>
          <w:sz w:val="28"/>
          <w:lang w:val="ru-RU"/>
        </w:rPr>
      </w:pPr>
      <w:r w:rsidRPr="008F194B">
        <w:rPr>
          <w:rFonts w:ascii="Times New Roman" w:eastAsia="Times New Roman" w:hAnsi="Times New Roman" w:cs="Times New Roman"/>
          <w:color w:val="202124"/>
          <w:sz w:val="28"/>
          <w:lang w:val="ru-RU"/>
        </w:rPr>
        <w:t>Лахов С.В. – заң департаментінің басшысы;</w:t>
      </w:r>
    </w:p>
    <w:p w14:paraId="4666AABC" w14:textId="77777777" w:rsidR="0091726F" w:rsidRPr="008F194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202124"/>
          <w:sz w:val="28"/>
          <w:lang w:val="ru-RU"/>
        </w:rPr>
      </w:pPr>
      <w:r w:rsidRPr="008F194B">
        <w:rPr>
          <w:rFonts w:ascii="Times New Roman" w:eastAsia="Times New Roman" w:hAnsi="Times New Roman" w:cs="Times New Roman"/>
          <w:color w:val="202124"/>
          <w:sz w:val="28"/>
          <w:lang w:val="ru-RU"/>
        </w:rPr>
        <w:lastRenderedPageBreak/>
        <w:t xml:space="preserve">Валханова А.А. – комиссия хатшысы – корпоративтік хатшы. </w:t>
      </w:r>
      <w:r w:rsidRPr="008F194B">
        <w:rPr>
          <w:rFonts w:ascii="Times New Roman" w:eastAsia="Times New Roman" w:hAnsi="Times New Roman" w:cs="Times New Roman"/>
          <w:color w:val="202124"/>
          <w:sz w:val="28"/>
          <w:lang w:val="ru-RU"/>
        </w:rPr>
        <w:tab/>
      </w:r>
      <w:r w:rsidRPr="008F194B">
        <w:rPr>
          <w:rFonts w:ascii="Times New Roman" w:eastAsia="Times New Roman" w:hAnsi="Times New Roman" w:cs="Times New Roman"/>
          <w:color w:val="202124"/>
          <w:sz w:val="28"/>
          <w:lang w:val="ru-RU"/>
        </w:rPr>
        <w:tab/>
      </w:r>
    </w:p>
    <w:p w14:paraId="6BB0DA44" w14:textId="77777777" w:rsidR="0091726F" w:rsidRPr="008F194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202124"/>
          <w:sz w:val="28"/>
          <w:lang w:val="ru-RU"/>
        </w:rPr>
      </w:pPr>
      <w:r w:rsidRPr="008F194B">
        <w:rPr>
          <w:rFonts w:ascii="Times New Roman" w:eastAsia="Times New Roman" w:hAnsi="Times New Roman" w:cs="Times New Roman"/>
          <w:color w:val="202124"/>
          <w:sz w:val="28"/>
          <w:lang w:val="ru-RU"/>
        </w:rPr>
        <w:t>3. Осы бұйрықтың қосымшасында көсетілген Университет 2023 жылғы сыбайлас жемқорлық тәуеклдеріне ішкі талдау жүгізу уақытының кестесін бекіту.</w:t>
      </w:r>
    </w:p>
    <w:p w14:paraId="7AB25916" w14:textId="77777777" w:rsidR="0091726F" w:rsidRPr="008F194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202124"/>
          <w:sz w:val="28"/>
          <w:lang w:val="ru-RU"/>
        </w:rPr>
      </w:pPr>
      <w:r w:rsidRPr="008F194B">
        <w:rPr>
          <w:rFonts w:ascii="Times New Roman" w:eastAsia="Times New Roman" w:hAnsi="Times New Roman" w:cs="Times New Roman"/>
          <w:color w:val="202124"/>
          <w:sz w:val="28"/>
          <w:lang w:val="ru-RU"/>
        </w:rPr>
        <w:t xml:space="preserve">4. Іс-шараның орындалуын бақылаушысы ретінде аппарат басшысы  </w:t>
      </w:r>
      <w:r w:rsidRPr="008F194B">
        <w:rPr>
          <w:rFonts w:ascii="Times New Roman" w:eastAsia="Times New Roman" w:hAnsi="Times New Roman" w:cs="Times New Roman"/>
          <w:color w:val="202124"/>
          <w:sz w:val="28"/>
          <w:lang w:val="ru-RU"/>
        </w:rPr>
        <w:br/>
        <w:t>Искалиев А.М. (келісім бойынша) жүктелсін.</w:t>
      </w:r>
      <w:r w:rsidRPr="008F194B">
        <w:rPr>
          <w:rFonts w:ascii="Times New Roman" w:eastAsia="Times New Roman" w:hAnsi="Times New Roman" w:cs="Times New Roman"/>
          <w:color w:val="202124"/>
          <w:sz w:val="28"/>
          <w:lang w:val="ru-RU"/>
        </w:rPr>
        <w:tab/>
      </w:r>
    </w:p>
    <w:p w14:paraId="2710A0E6" w14:textId="77777777" w:rsidR="0091726F" w:rsidRPr="008F194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202124"/>
          <w:sz w:val="28"/>
          <w:lang w:val="ru-RU"/>
        </w:rPr>
      </w:pPr>
      <w:r w:rsidRPr="008F194B">
        <w:rPr>
          <w:rFonts w:ascii="Times New Roman" w:eastAsia="Times New Roman" w:hAnsi="Times New Roman" w:cs="Times New Roman"/>
          <w:color w:val="202124"/>
          <w:sz w:val="28"/>
          <w:lang w:val="ru-RU"/>
        </w:rPr>
        <w:t xml:space="preserve">5. </w:t>
      </w:r>
      <w:r w:rsidRPr="008F194B">
        <w:rPr>
          <w:rFonts w:ascii="Times New Roman" w:eastAsia="Times New Roman" w:hAnsi="Times New Roman" w:cs="Times New Roman"/>
          <w:color w:val="000000"/>
          <w:sz w:val="28"/>
          <w:lang w:val="ru-RU"/>
        </w:rPr>
        <w:t>Әкімшілік Департамент (М.Б. Тұрғынбаев) мүдделі тұлғаларды осы бұйрықпен таныстыруды қамтамасыз етсін.</w:t>
      </w:r>
    </w:p>
    <w:p w14:paraId="43F94D6E" w14:textId="77777777" w:rsidR="0091726F" w:rsidRPr="008F194B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202124"/>
          <w:sz w:val="28"/>
          <w:lang w:val="ru-RU"/>
        </w:rPr>
      </w:pPr>
      <w:r w:rsidRPr="008F194B">
        <w:rPr>
          <w:rFonts w:ascii="Times New Roman" w:eastAsia="Times New Roman" w:hAnsi="Times New Roman" w:cs="Times New Roman"/>
          <w:color w:val="202124"/>
          <w:sz w:val="28"/>
          <w:lang w:val="ru-RU"/>
        </w:rPr>
        <w:t>6. Бұйрық қол қойған күннен бастап күшіне енеді.</w:t>
      </w:r>
      <w:r w:rsidRPr="008F194B">
        <w:rPr>
          <w:rFonts w:ascii="Times New Roman" w:eastAsia="Times New Roman" w:hAnsi="Times New Roman" w:cs="Times New Roman"/>
          <w:color w:val="202124"/>
          <w:sz w:val="28"/>
          <w:lang w:val="ru-RU"/>
        </w:rPr>
        <w:tab/>
      </w:r>
    </w:p>
    <w:p w14:paraId="4E1C3F70" w14:textId="77777777" w:rsidR="0091726F" w:rsidRPr="008F194B" w:rsidRDefault="009172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spacing w:after="0"/>
        <w:ind w:firstLine="850"/>
        <w:jc w:val="both"/>
        <w:rPr>
          <w:sz w:val="20"/>
          <w:lang w:val="ru-RU"/>
        </w:rPr>
      </w:pPr>
    </w:p>
    <w:p w14:paraId="2CBA9AA8" w14:textId="77777777" w:rsidR="0091726F" w:rsidRPr="008F194B" w:rsidRDefault="009172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 w:themeFill="background1"/>
        <w:spacing w:after="0"/>
        <w:ind w:firstLine="850"/>
        <w:jc w:val="both"/>
        <w:rPr>
          <w:sz w:val="20"/>
          <w:lang w:val="ru-RU"/>
        </w:rPr>
      </w:pPr>
    </w:p>
    <w:p w14:paraId="0DCBF940" w14:textId="77777777" w:rsidR="0091726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5" w:lineRule="atLeast"/>
        <w:ind w:firstLine="850"/>
        <w:jc w:val="both"/>
      </w:pPr>
      <w:r w:rsidRPr="008F194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Басқарма Төрағасы – Ректордың м.а.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Сұлтанғазиева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С.Е.</w:t>
      </w:r>
    </w:p>
    <w:p w14:paraId="6525B409" w14:textId="77777777" w:rsidR="0091726F" w:rsidRDefault="0091726F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7278A86A" w14:textId="77777777" w:rsidR="0091726F" w:rsidRDefault="0091726F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19E1E0F9" w14:textId="77777777" w:rsidR="0091726F" w:rsidRPr="008F194B" w:rsidRDefault="0091726F">
      <w:pPr>
        <w:spacing w:after="0"/>
      </w:pPr>
    </w:p>
    <w:p w14:paraId="09806AAE" w14:textId="77777777" w:rsidR="0091726F" w:rsidRPr="008F194B" w:rsidRDefault="0091726F">
      <w:pPr>
        <w:spacing w:after="0"/>
      </w:pPr>
    </w:p>
    <w:p w14:paraId="1E894DDC" w14:textId="77777777" w:rsidR="0091726F" w:rsidRPr="008F194B" w:rsidRDefault="0091726F">
      <w:pPr>
        <w:spacing w:after="0"/>
      </w:pPr>
    </w:p>
    <w:p w14:paraId="147CB0B0" w14:textId="77777777" w:rsidR="0091726F" w:rsidRPr="008F194B" w:rsidRDefault="0091726F">
      <w:pPr>
        <w:spacing w:after="0"/>
      </w:pPr>
    </w:p>
    <w:p w14:paraId="0E931985" w14:textId="77777777" w:rsidR="0091726F" w:rsidRPr="008F194B" w:rsidRDefault="0091726F">
      <w:pPr>
        <w:spacing w:after="0"/>
      </w:pPr>
    </w:p>
    <w:p w14:paraId="3C46C507" w14:textId="77777777" w:rsidR="0091726F" w:rsidRPr="008F194B" w:rsidRDefault="0091726F">
      <w:pPr>
        <w:spacing w:after="0"/>
      </w:pPr>
    </w:p>
    <w:p w14:paraId="020182DA" w14:textId="77777777" w:rsidR="0091726F" w:rsidRPr="008F194B" w:rsidRDefault="0091726F">
      <w:pPr>
        <w:spacing w:after="0"/>
      </w:pPr>
    </w:p>
    <w:p w14:paraId="0F05887D" w14:textId="77777777" w:rsidR="0091726F" w:rsidRPr="008F194B" w:rsidRDefault="0091726F">
      <w:pPr>
        <w:spacing w:after="0"/>
      </w:pPr>
    </w:p>
    <w:p w14:paraId="6251EC17" w14:textId="77777777" w:rsidR="0091726F" w:rsidRPr="008F194B" w:rsidRDefault="0091726F">
      <w:pPr>
        <w:spacing w:after="0"/>
      </w:pPr>
    </w:p>
    <w:p w14:paraId="7BDB268A" w14:textId="77777777" w:rsidR="0091726F" w:rsidRPr="008F194B" w:rsidRDefault="0091726F">
      <w:pPr>
        <w:spacing w:after="0"/>
      </w:pPr>
    </w:p>
    <w:p w14:paraId="21626376" w14:textId="77777777" w:rsidR="0091726F" w:rsidRPr="008F194B" w:rsidRDefault="0091726F">
      <w:pPr>
        <w:spacing w:after="0"/>
      </w:pPr>
    </w:p>
    <w:p w14:paraId="568E6BED" w14:textId="77777777" w:rsidR="0091726F" w:rsidRPr="008F194B" w:rsidRDefault="0091726F">
      <w:pPr>
        <w:spacing w:after="0"/>
      </w:pPr>
    </w:p>
    <w:p w14:paraId="30CF3692" w14:textId="77777777" w:rsidR="0091726F" w:rsidRPr="008F194B" w:rsidRDefault="0091726F">
      <w:pPr>
        <w:spacing w:after="0"/>
      </w:pPr>
    </w:p>
    <w:p w14:paraId="186D3FDB" w14:textId="77777777" w:rsidR="0091726F" w:rsidRPr="008F194B" w:rsidRDefault="0091726F">
      <w:pPr>
        <w:spacing w:after="0"/>
      </w:pPr>
    </w:p>
    <w:p w14:paraId="32376C9B" w14:textId="77777777" w:rsidR="0091726F" w:rsidRPr="008F194B" w:rsidRDefault="0091726F">
      <w:pPr>
        <w:spacing w:after="0"/>
      </w:pPr>
    </w:p>
    <w:p w14:paraId="134E4B0E" w14:textId="77777777" w:rsidR="0091726F" w:rsidRPr="008F194B" w:rsidRDefault="0091726F">
      <w:pPr>
        <w:spacing w:after="0"/>
      </w:pPr>
    </w:p>
    <w:p w14:paraId="3DA21C45" w14:textId="77777777" w:rsidR="0091726F" w:rsidRPr="008F194B" w:rsidRDefault="0091726F">
      <w:pPr>
        <w:spacing w:after="0"/>
      </w:pPr>
    </w:p>
    <w:p w14:paraId="0F236826" w14:textId="77777777" w:rsidR="0091726F" w:rsidRPr="008F194B" w:rsidRDefault="0091726F">
      <w:pPr>
        <w:spacing w:after="0"/>
      </w:pPr>
    </w:p>
    <w:p w14:paraId="5C5F2E8E" w14:textId="77777777" w:rsidR="0091726F" w:rsidRPr="008F194B" w:rsidRDefault="0091726F">
      <w:pPr>
        <w:spacing w:after="0"/>
      </w:pPr>
    </w:p>
    <w:p w14:paraId="4A89D2A1" w14:textId="77777777" w:rsidR="0091726F" w:rsidRPr="008F194B" w:rsidRDefault="0091726F">
      <w:pPr>
        <w:spacing w:after="0"/>
      </w:pPr>
    </w:p>
    <w:p w14:paraId="24624A8C" w14:textId="77777777" w:rsidR="0091726F" w:rsidRPr="008F194B" w:rsidRDefault="0091726F">
      <w:pPr>
        <w:spacing w:after="0"/>
      </w:pPr>
    </w:p>
    <w:p w14:paraId="69D2B174" w14:textId="77777777" w:rsidR="0091726F" w:rsidRPr="008F194B" w:rsidRDefault="0091726F">
      <w:pPr>
        <w:spacing w:after="0"/>
      </w:pPr>
    </w:p>
    <w:p w14:paraId="52EE8BC0" w14:textId="77777777" w:rsidR="0091726F" w:rsidRPr="008F194B" w:rsidRDefault="0091726F">
      <w:pPr>
        <w:spacing w:after="0"/>
      </w:pPr>
    </w:p>
    <w:p w14:paraId="24743213" w14:textId="77777777" w:rsidR="0091726F" w:rsidRPr="008F194B" w:rsidRDefault="0091726F">
      <w:pPr>
        <w:spacing w:after="0"/>
      </w:pPr>
    </w:p>
    <w:p w14:paraId="18B1B6E8" w14:textId="77777777" w:rsidR="0091726F" w:rsidRPr="008F194B" w:rsidRDefault="0091726F">
      <w:pPr>
        <w:spacing w:after="0"/>
      </w:pPr>
    </w:p>
    <w:p w14:paraId="74C29800" w14:textId="77777777" w:rsidR="0091726F" w:rsidRPr="008F194B" w:rsidRDefault="0091726F">
      <w:pPr>
        <w:spacing w:after="0"/>
      </w:pPr>
    </w:p>
    <w:p w14:paraId="684E4144" w14:textId="77777777" w:rsidR="0091726F" w:rsidRPr="008F194B" w:rsidRDefault="0091726F">
      <w:pPr>
        <w:spacing w:after="0"/>
      </w:pPr>
    </w:p>
    <w:p w14:paraId="1D2AC4EB" w14:textId="77777777" w:rsidR="0091726F" w:rsidRPr="008F194B" w:rsidRDefault="0091726F">
      <w:pPr>
        <w:spacing w:after="0"/>
      </w:pPr>
    </w:p>
    <w:p w14:paraId="0CD11E7A" w14:textId="77777777" w:rsidR="0091726F" w:rsidRPr="008F194B" w:rsidRDefault="0091726F">
      <w:pPr>
        <w:spacing w:after="0"/>
      </w:pPr>
    </w:p>
    <w:p w14:paraId="4D8ADD26" w14:textId="77777777" w:rsidR="0091726F" w:rsidRPr="008F194B" w:rsidRDefault="0091726F">
      <w:pPr>
        <w:spacing w:after="0"/>
      </w:pPr>
    </w:p>
    <w:p w14:paraId="6352E8CC" w14:textId="77777777" w:rsidR="0091726F" w:rsidRPr="008F194B" w:rsidRDefault="0091726F">
      <w:pPr>
        <w:spacing w:after="0"/>
      </w:pPr>
    </w:p>
    <w:p w14:paraId="7EB9CCD2" w14:textId="77777777" w:rsidR="0091726F" w:rsidRPr="008F194B" w:rsidRDefault="0091726F">
      <w:pPr>
        <w:spacing w:after="0"/>
      </w:pPr>
    </w:p>
    <w:p w14:paraId="38F39804" w14:textId="77777777" w:rsidR="0091726F" w:rsidRPr="008F194B" w:rsidRDefault="0091726F">
      <w:pPr>
        <w:spacing w:after="0"/>
      </w:pPr>
    </w:p>
    <w:p w14:paraId="741B9184" w14:textId="77777777" w:rsidR="0091726F" w:rsidRPr="008F194B" w:rsidRDefault="0091726F">
      <w:pPr>
        <w:spacing w:after="0"/>
      </w:pPr>
    </w:p>
    <w:p w14:paraId="60AA5A68" w14:textId="77777777" w:rsidR="0091726F" w:rsidRPr="008F194B" w:rsidRDefault="0091726F">
      <w:pPr>
        <w:spacing w:after="0"/>
      </w:pPr>
    </w:p>
    <w:p w14:paraId="025B1F87" w14:textId="77777777" w:rsidR="0091726F" w:rsidRPr="008F194B" w:rsidRDefault="0091726F">
      <w:pPr>
        <w:spacing w:after="0"/>
      </w:pPr>
    </w:p>
    <w:p w14:paraId="7CD5260D" w14:textId="77777777" w:rsidR="0091726F" w:rsidRPr="008F194B" w:rsidRDefault="0091726F">
      <w:pPr>
        <w:spacing w:after="0"/>
      </w:pPr>
    </w:p>
    <w:p w14:paraId="1821C0C8" w14:textId="77777777" w:rsidR="0091726F" w:rsidRPr="008F194B" w:rsidRDefault="0091726F">
      <w:pPr>
        <w:spacing w:after="0"/>
      </w:pPr>
    </w:p>
    <w:p w14:paraId="61ED6D08" w14:textId="77777777" w:rsidR="0091726F" w:rsidRPr="008F194B" w:rsidRDefault="0091726F">
      <w:pPr>
        <w:spacing w:after="0"/>
      </w:pPr>
    </w:p>
    <w:p w14:paraId="6C7CA478" w14:textId="77777777" w:rsidR="0091726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5" w:lineRule="atLeast"/>
        <w:ind w:left="5760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Бұйрыққа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қосымша</w:t>
      </w:r>
      <w:proofErr w:type="spellEnd"/>
    </w:p>
    <w:p w14:paraId="04BE8443" w14:textId="77777777" w:rsidR="0091726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5" w:lineRule="atLeast"/>
        <w:ind w:left="5760"/>
      </w:pPr>
      <w:r>
        <w:rPr>
          <w:rFonts w:ascii="Times New Roman" w:eastAsia="Times New Roman" w:hAnsi="Times New Roman" w:cs="Times New Roman"/>
          <w:color w:val="000000"/>
          <w:sz w:val="28"/>
        </w:rPr>
        <w:t>«___» _______2023 ж.</w:t>
      </w:r>
    </w:p>
    <w:p w14:paraId="1BE4AAC6" w14:textId="77777777" w:rsidR="0091726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5" w:lineRule="atLeast"/>
        <w:ind w:left="5760"/>
      </w:pPr>
      <w:r>
        <w:rPr>
          <w:rFonts w:ascii="Times New Roman" w:eastAsia="Times New Roman" w:hAnsi="Times New Roman" w:cs="Times New Roman"/>
          <w:color w:val="000000"/>
          <w:sz w:val="28"/>
        </w:rPr>
        <w:t>№ ______</w:t>
      </w:r>
    </w:p>
    <w:p w14:paraId="2E783CC1" w14:textId="77777777" w:rsidR="0091726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 w:line="235" w:lineRule="atLeast"/>
        <w:ind w:left="576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14:paraId="55BF9540" w14:textId="77777777" w:rsidR="0091726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«С.Ж.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Асфендияров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атындағы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Қазақ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ұлттық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медицина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университетіндегі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» 2023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жылға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арналған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сыбайлас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жемқорлық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тәуекелдеріне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ішкі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талдау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жүргізу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31CD89A0" w14:textId="77777777" w:rsidR="0091726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Кестесі</w:t>
      </w:r>
      <w:proofErr w:type="spellEnd"/>
    </w:p>
    <w:p w14:paraId="35257CA4" w14:textId="77777777" w:rsidR="0091726F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3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927"/>
        <w:gridCol w:w="1727"/>
        <w:gridCol w:w="1848"/>
        <w:gridCol w:w="1737"/>
        <w:gridCol w:w="1913"/>
      </w:tblGrid>
      <w:tr w:rsidR="0091726F" w14:paraId="0F81C54F" w14:textId="77777777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7E49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173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8A722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Іс-шараның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атауы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талданатын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уақыт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кезеңі</w:t>
            </w:r>
            <w:proofErr w:type="spellEnd"/>
          </w:p>
        </w:tc>
        <w:tc>
          <w:tcPr>
            <w:tcW w:w="167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0C3DB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Іс-шараның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аяқталу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формасы</w:t>
            </w:r>
            <w:proofErr w:type="spellEnd"/>
          </w:p>
        </w:tc>
        <w:tc>
          <w:tcPr>
            <w:tcW w:w="184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66FD1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Сыбайлас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жемқорлыққа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қарсы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іс-қимыл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субъектісінде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ішкі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талдауды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ұйымдастыру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жүргізу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жүктелген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жауапты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тұлға</w:t>
            </w:r>
            <w:proofErr w:type="spellEnd"/>
          </w:p>
        </w:tc>
        <w:tc>
          <w:tcPr>
            <w:tcW w:w="173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C74CC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Сыбайлас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жемқорлық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тәуекелдеріне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ішкі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жүргізудің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уақыты</w:t>
            </w:r>
            <w:proofErr w:type="spellEnd"/>
          </w:p>
        </w:tc>
        <w:tc>
          <w:tcPr>
            <w:tcW w:w="191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9A813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Сыбайлас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жемқорлыққа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қарсы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іс-қимыл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жөніндегі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уәкілетті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органға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есепті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жіберудің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мерзімі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күн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жыл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91726F" w14:paraId="76DB3AA9" w14:textId="77777777">
        <w:trPr>
          <w:trHeight w:val="421"/>
        </w:trPr>
        <w:tc>
          <w:tcPr>
            <w:tcW w:w="4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2A77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3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8C4A4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Ғылым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департаментінде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жылының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айына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сыбайлас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жемқорлық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тәуекелдеріне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ішкі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жүргізу</w:t>
            </w:r>
            <w:proofErr w:type="spellEnd"/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C7DE8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Аналитикалық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анықтама</w:t>
            </w:r>
            <w:proofErr w:type="spellEnd"/>
          </w:p>
        </w:tc>
        <w:tc>
          <w:tcPr>
            <w:tcW w:w="18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6E059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Әнуар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Ә.</w:t>
            </w:r>
          </w:p>
        </w:tc>
        <w:tc>
          <w:tcPr>
            <w:tcW w:w="17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974DD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14.08.2023-30.11.2023</w:t>
            </w:r>
          </w:p>
        </w:tc>
        <w:tc>
          <w:tcPr>
            <w:tcW w:w="19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F8CB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04.12.2023</w:t>
            </w:r>
          </w:p>
          <w:p w14:paraId="07197647" w14:textId="77777777" w:rsidR="0091726F" w:rsidRDefault="009172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</w:tc>
      </w:tr>
      <w:tr w:rsidR="0091726F" w14:paraId="2C1102D0" w14:textId="77777777">
        <w:trPr>
          <w:trHeight w:val="555"/>
        </w:trPr>
        <w:tc>
          <w:tcPr>
            <w:tcW w:w="4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6606D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3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1954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Клиникалық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департаментінде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жылының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айына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сыбайлас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жемқорлық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тәуекелдеріне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ішкі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жүргізу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E7C49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Аналитикалық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анықтама</w:t>
            </w:r>
            <w:proofErr w:type="spellEnd"/>
          </w:p>
        </w:tc>
        <w:tc>
          <w:tcPr>
            <w:tcW w:w="18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F561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Әнуар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Ә.</w:t>
            </w:r>
          </w:p>
        </w:tc>
        <w:tc>
          <w:tcPr>
            <w:tcW w:w="17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63A0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14.08.2023-30.11.2023</w:t>
            </w:r>
          </w:p>
          <w:p w14:paraId="3676E5B7" w14:textId="77777777" w:rsidR="0091726F" w:rsidRDefault="009172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</w:tc>
        <w:tc>
          <w:tcPr>
            <w:tcW w:w="19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693D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04.12.2023</w:t>
            </w:r>
          </w:p>
          <w:p w14:paraId="566CEEC6" w14:textId="77777777" w:rsidR="0091726F" w:rsidRDefault="009172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</w:tc>
      </w:tr>
      <w:tr w:rsidR="0091726F" w14:paraId="510D0484" w14:textId="77777777">
        <w:trPr>
          <w:trHeight w:val="563"/>
        </w:trPr>
        <w:tc>
          <w:tcPr>
            <w:tcW w:w="4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BA15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3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8D46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Әлеуметтік-тәрбие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жұмысы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департаментінде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жылының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айына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сыбайлас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жемқорлық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тәуекелдеріне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ішкі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жүргізу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8181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Аналитикалық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анықтама</w:t>
            </w:r>
            <w:proofErr w:type="spellEnd"/>
          </w:p>
        </w:tc>
        <w:tc>
          <w:tcPr>
            <w:tcW w:w="18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D3237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Әнуар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Ә.</w:t>
            </w:r>
          </w:p>
        </w:tc>
        <w:tc>
          <w:tcPr>
            <w:tcW w:w="17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47AA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14.08.2023-30.11.2023</w:t>
            </w:r>
          </w:p>
          <w:p w14:paraId="41061CE0" w14:textId="77777777" w:rsidR="0091726F" w:rsidRDefault="009172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</w:tc>
        <w:tc>
          <w:tcPr>
            <w:tcW w:w="19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E883B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04.12.2023</w:t>
            </w:r>
          </w:p>
        </w:tc>
      </w:tr>
      <w:tr w:rsidR="0091726F" w14:paraId="5C35DC09" w14:textId="77777777">
        <w:trPr>
          <w:trHeight w:val="3427"/>
        </w:trPr>
        <w:tc>
          <w:tcPr>
            <w:tcW w:w="4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327EC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73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7F20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ресурстарын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департаментінде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жылының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айына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сыбайлас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жемқорлық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тәуекелдеріне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ішкі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жүргізу</w:t>
            </w:r>
            <w:proofErr w:type="spellEnd"/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A1CD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Аналитикалық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анықтама</w:t>
            </w:r>
            <w:proofErr w:type="spellEnd"/>
          </w:p>
        </w:tc>
        <w:tc>
          <w:tcPr>
            <w:tcW w:w="18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811A2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Әнуар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Ә.</w:t>
            </w:r>
          </w:p>
        </w:tc>
        <w:tc>
          <w:tcPr>
            <w:tcW w:w="17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5DBA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14.08.2023-30.11.2023</w:t>
            </w:r>
          </w:p>
          <w:p w14:paraId="768D754B" w14:textId="77777777" w:rsidR="0091726F" w:rsidRDefault="009172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</w:tc>
        <w:tc>
          <w:tcPr>
            <w:tcW w:w="19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9BE73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04.12.2023</w:t>
            </w:r>
          </w:p>
          <w:p w14:paraId="5B6C1386" w14:textId="77777777" w:rsidR="0091726F" w:rsidRDefault="009172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</w:tc>
      </w:tr>
      <w:tr w:rsidR="0091726F" w14:paraId="48580BFA" w14:textId="77777777">
        <w:trPr>
          <w:trHeight w:val="563"/>
        </w:trPr>
        <w:tc>
          <w:tcPr>
            <w:tcW w:w="4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35BD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73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5FC9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Бухгалтерлік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есеп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департаментінде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жылының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айына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сыбайлас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жемқорлық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тәуекелдеріне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ішкі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жүргізу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90D8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Аналитикалық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анықтама</w:t>
            </w:r>
            <w:proofErr w:type="spellEnd"/>
          </w:p>
        </w:tc>
        <w:tc>
          <w:tcPr>
            <w:tcW w:w="18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5462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Әнуар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Ә.</w:t>
            </w:r>
          </w:p>
        </w:tc>
        <w:tc>
          <w:tcPr>
            <w:tcW w:w="17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09FE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14.08.2023-30.11.2023</w:t>
            </w:r>
          </w:p>
          <w:p w14:paraId="28B73FAC" w14:textId="77777777" w:rsidR="0091726F" w:rsidRDefault="009172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</w:tc>
        <w:tc>
          <w:tcPr>
            <w:tcW w:w="19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80A1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04.12.2023</w:t>
            </w:r>
          </w:p>
          <w:p w14:paraId="75DD5D7A" w14:textId="77777777" w:rsidR="0091726F" w:rsidRDefault="009172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</w:tc>
      </w:tr>
      <w:tr w:rsidR="0091726F" w14:paraId="0A0280B5" w14:textId="77777777">
        <w:trPr>
          <w:trHeight w:val="563"/>
        </w:trPr>
        <w:tc>
          <w:tcPr>
            <w:tcW w:w="43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05CFE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73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C810B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департаментінде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барлық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мектеп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кафедраларда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жылының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айына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сыбайлас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жемқорлық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тәуекелдеріне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ішкі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жүргізу</w:t>
            </w:r>
            <w:proofErr w:type="spellEnd"/>
          </w:p>
        </w:tc>
        <w:tc>
          <w:tcPr>
            <w:tcW w:w="167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7E1B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Аналитикалық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анықтама</w:t>
            </w:r>
            <w:proofErr w:type="spellEnd"/>
          </w:p>
        </w:tc>
        <w:tc>
          <w:tcPr>
            <w:tcW w:w="184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59612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Әнуар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Ә.</w:t>
            </w:r>
          </w:p>
        </w:tc>
        <w:tc>
          <w:tcPr>
            <w:tcW w:w="173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AF63A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14.08.2023-30.11.2023</w:t>
            </w:r>
          </w:p>
          <w:p w14:paraId="4FF4BFB3" w14:textId="77777777" w:rsidR="0091726F" w:rsidRDefault="009172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</w:tc>
        <w:tc>
          <w:tcPr>
            <w:tcW w:w="191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B0B71" w14:textId="77777777" w:rsidR="0091726F" w:rsidRDefault="000000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04.12.2023</w:t>
            </w:r>
          </w:p>
          <w:p w14:paraId="54A2F0F3" w14:textId="77777777" w:rsidR="0091726F" w:rsidRDefault="009172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</w:p>
        </w:tc>
      </w:tr>
    </w:tbl>
    <w:p w14:paraId="1D105ED9" w14:textId="77777777" w:rsidR="0091726F" w:rsidRDefault="0091726F">
      <w:pPr>
        <w:spacing w:after="0"/>
        <w:rPr>
          <w:lang w:val="ru-RU"/>
        </w:rPr>
      </w:pPr>
    </w:p>
    <w:p w14:paraId="18135C10" w14:textId="77777777" w:rsidR="0091726F" w:rsidRDefault="0091726F">
      <w:pPr>
        <w:spacing w:after="0"/>
        <w:rPr>
          <w:lang w:val="ru-RU"/>
        </w:rPr>
      </w:pPr>
    </w:p>
    <w:p w14:paraId="39BF9240" w14:textId="77777777" w:rsidR="0091726F" w:rsidRDefault="0091726F">
      <w:pPr>
        <w:spacing w:after="0"/>
        <w:rPr>
          <w:lang w:val="ru-RU"/>
        </w:rPr>
      </w:pPr>
    </w:p>
    <w:p w14:paraId="055A832F" w14:textId="77777777" w:rsidR="0091726F" w:rsidRDefault="0091726F">
      <w:pPr>
        <w:spacing w:after="0"/>
        <w:rPr>
          <w:lang w:val="ru-RU"/>
        </w:rPr>
      </w:pPr>
    </w:p>
    <w:p w14:paraId="7C67650F" w14:textId="77777777" w:rsidR="0091726F" w:rsidRDefault="0091726F">
      <w:pPr>
        <w:spacing w:after="0"/>
        <w:rPr>
          <w:lang w:val="ru-RU"/>
        </w:rPr>
      </w:pPr>
    </w:p>
    <w:p w14:paraId="259CD920" w14:textId="77777777" w:rsidR="0091726F" w:rsidRDefault="0091726F">
      <w:pPr>
        <w:spacing w:after="0"/>
        <w:rPr>
          <w:lang w:val="ru-RU"/>
        </w:rPr>
      </w:pPr>
    </w:p>
    <w:p w14:paraId="0D427107" w14:textId="77777777" w:rsidR="0091726F" w:rsidRDefault="0091726F">
      <w:pPr>
        <w:spacing w:after="0"/>
        <w:rPr>
          <w:lang w:val="ru-RU"/>
        </w:rPr>
      </w:pPr>
    </w:p>
    <w:p w14:paraId="48F6C932" w14:textId="77777777" w:rsidR="0091726F" w:rsidRDefault="0091726F">
      <w:pPr>
        <w:spacing w:after="0"/>
        <w:rPr>
          <w:lang w:val="ru-RU"/>
        </w:rPr>
      </w:pPr>
    </w:p>
    <w:p w14:paraId="3E917116" w14:textId="77777777" w:rsidR="0091726F" w:rsidRDefault="0091726F">
      <w:pPr>
        <w:spacing w:after="0"/>
        <w:rPr>
          <w:lang w:val="ru-RU"/>
        </w:rPr>
      </w:pPr>
    </w:p>
    <w:p w14:paraId="6CAC1E60" w14:textId="77777777" w:rsidR="0091726F" w:rsidRDefault="0091726F">
      <w:pPr>
        <w:spacing w:after="0"/>
        <w:rPr>
          <w:lang w:val="ru-RU"/>
        </w:rPr>
      </w:pPr>
    </w:p>
    <w:p w14:paraId="22162A5C" w14:textId="77777777" w:rsidR="0091726F" w:rsidRDefault="0091726F">
      <w:pPr>
        <w:spacing w:after="0"/>
        <w:rPr>
          <w:lang w:val="ru-RU"/>
        </w:rPr>
      </w:pPr>
    </w:p>
    <w:p w14:paraId="4763CB09" w14:textId="77777777" w:rsidR="0091726F" w:rsidRDefault="0091726F">
      <w:pPr>
        <w:spacing w:after="0"/>
        <w:rPr>
          <w:lang w:val="ru-RU"/>
        </w:rPr>
      </w:pPr>
    </w:p>
    <w:p w14:paraId="5A70FA46" w14:textId="77777777" w:rsidR="0091726F" w:rsidRDefault="0091726F">
      <w:pPr>
        <w:spacing w:after="0"/>
        <w:rPr>
          <w:lang w:val="ru-RU"/>
        </w:rPr>
      </w:pPr>
    </w:p>
    <w:p w14:paraId="3B3E3FBF" w14:textId="77777777" w:rsidR="0091726F" w:rsidRDefault="0091726F">
      <w:pPr>
        <w:spacing w:after="0"/>
        <w:rPr>
          <w:lang w:val="ru-RU"/>
        </w:rPr>
      </w:pPr>
    </w:p>
    <w:p w14:paraId="5E2066F0" w14:textId="77777777" w:rsidR="0091726F" w:rsidRDefault="0091726F">
      <w:pPr>
        <w:spacing w:after="0"/>
        <w:rPr>
          <w:lang w:val="ru-RU"/>
        </w:rPr>
      </w:pPr>
    </w:p>
    <w:p w14:paraId="1C19FC40" w14:textId="77777777" w:rsidR="0091726F" w:rsidRDefault="0091726F">
      <w:pPr>
        <w:spacing w:after="0"/>
        <w:rPr>
          <w:lang w:val="ru-RU"/>
        </w:rPr>
      </w:pPr>
    </w:p>
    <w:p w14:paraId="2BEEEEC7" w14:textId="77777777" w:rsidR="0091726F" w:rsidRDefault="0091726F">
      <w:pPr>
        <w:spacing w:after="0"/>
        <w:rPr>
          <w:lang w:val="ru-RU"/>
        </w:rPr>
      </w:pPr>
    </w:p>
    <w:p w14:paraId="084B25BB" w14:textId="77777777" w:rsidR="0091726F" w:rsidRDefault="0091726F">
      <w:pPr>
        <w:spacing w:after="0"/>
        <w:rPr>
          <w:lang w:val="ru-RU"/>
        </w:rPr>
      </w:pPr>
    </w:p>
    <w:p w14:paraId="45F33DD1" w14:textId="77777777" w:rsidR="0091726F" w:rsidRDefault="0091726F">
      <w:pPr>
        <w:spacing w:after="0"/>
        <w:rPr>
          <w:lang w:val="ru-RU"/>
        </w:rPr>
      </w:pPr>
    </w:p>
    <w:p w14:paraId="1F974E53" w14:textId="77777777" w:rsidR="0091726F" w:rsidRDefault="0091726F">
      <w:pPr>
        <w:spacing w:after="0"/>
        <w:rPr>
          <w:lang w:val="ru-RU"/>
        </w:rPr>
      </w:pPr>
    </w:p>
    <w:p w14:paraId="0AA48000" w14:textId="77777777" w:rsidR="0091726F" w:rsidRDefault="0091726F">
      <w:pPr>
        <w:spacing w:after="0"/>
        <w:rPr>
          <w:lang w:val="ru-RU"/>
        </w:rPr>
      </w:pPr>
    </w:p>
    <w:p w14:paraId="63CF3C2A" w14:textId="77777777" w:rsidR="0091726F" w:rsidRDefault="0091726F">
      <w:pPr>
        <w:spacing w:after="0"/>
        <w:rPr>
          <w:lang w:val="ru-RU"/>
        </w:rPr>
      </w:pPr>
    </w:p>
    <w:p w14:paraId="204411FE" w14:textId="77777777" w:rsidR="0091726F" w:rsidRDefault="0091726F">
      <w:pPr>
        <w:spacing w:after="0"/>
        <w:rPr>
          <w:lang w:val="ru-RU"/>
        </w:rPr>
      </w:pPr>
    </w:p>
    <w:p w14:paraId="6E7304FA" w14:textId="77777777" w:rsidR="0091726F" w:rsidRDefault="0091726F">
      <w:pPr>
        <w:spacing w:after="0"/>
        <w:rPr>
          <w:lang w:val="ru-RU"/>
        </w:rPr>
      </w:pPr>
    </w:p>
    <w:p w14:paraId="4D92E481" w14:textId="77777777" w:rsidR="0091726F" w:rsidRDefault="0091726F">
      <w:pPr>
        <w:spacing w:after="0"/>
        <w:rPr>
          <w:lang w:val="ru-RU"/>
        </w:rPr>
      </w:pPr>
    </w:p>
    <w:p w14:paraId="1755021B" w14:textId="77777777" w:rsidR="0091726F" w:rsidRDefault="0091726F">
      <w:pPr>
        <w:spacing w:after="0"/>
        <w:rPr>
          <w:lang w:val="ru-RU"/>
        </w:rPr>
      </w:pPr>
    </w:p>
    <w:p w14:paraId="333E8619" w14:textId="77777777" w:rsidR="0091726F" w:rsidRDefault="0091726F">
      <w:pPr>
        <w:spacing w:after="0"/>
        <w:rPr>
          <w:lang w:val="ru-RU"/>
        </w:rPr>
      </w:pPr>
    </w:p>
    <w:p w14:paraId="00AB4115" w14:textId="77777777" w:rsidR="0091726F" w:rsidRDefault="0091726F">
      <w:pPr>
        <w:spacing w:after="0"/>
        <w:rPr>
          <w:lang w:val="ru-RU"/>
        </w:rPr>
      </w:pPr>
    </w:p>
    <w:p w14:paraId="44EC677E" w14:textId="77777777" w:rsidR="0091726F" w:rsidRDefault="0091726F">
      <w:pPr>
        <w:spacing w:after="0"/>
        <w:rPr>
          <w:lang w:val="ru-RU"/>
        </w:rPr>
      </w:pPr>
    </w:p>
    <w:p w14:paraId="3C4B34B3" w14:textId="77777777" w:rsidR="0091726F" w:rsidRDefault="0091726F">
      <w:pPr>
        <w:spacing w:after="0"/>
        <w:rPr>
          <w:lang w:val="ru-RU"/>
        </w:rPr>
      </w:pPr>
    </w:p>
    <w:p w14:paraId="2C3199DC" w14:textId="77777777" w:rsidR="0091726F" w:rsidRDefault="0091726F">
      <w:pPr>
        <w:spacing w:after="0"/>
        <w:rPr>
          <w:lang w:val="ru-RU"/>
        </w:rPr>
      </w:pPr>
    </w:p>
    <w:p w14:paraId="05E856CE" w14:textId="77777777" w:rsidR="0091726F" w:rsidRDefault="0091726F">
      <w:pPr>
        <w:spacing w:after="0"/>
        <w:rPr>
          <w:lang w:val="ru-RU"/>
        </w:rPr>
      </w:pPr>
    </w:p>
    <w:p w14:paraId="3D56D40F" w14:textId="77777777" w:rsidR="0091726F" w:rsidRDefault="0091726F">
      <w:pPr>
        <w:spacing w:after="0"/>
        <w:rPr>
          <w:lang w:val="ru-RU"/>
        </w:rPr>
      </w:pPr>
    </w:p>
    <w:p w14:paraId="47121845" w14:textId="77777777" w:rsidR="0091726F" w:rsidRDefault="0091726F">
      <w:pPr>
        <w:spacing w:after="0"/>
        <w:rPr>
          <w:lang w:val="ru-RU"/>
        </w:rPr>
      </w:pPr>
    </w:p>
    <w:p w14:paraId="1C39DA39" w14:textId="77777777" w:rsidR="0091726F" w:rsidRDefault="0091726F">
      <w:pPr>
        <w:spacing w:after="0"/>
        <w:rPr>
          <w:lang w:val="ru-RU"/>
        </w:rPr>
      </w:pPr>
    </w:p>
    <w:p w14:paraId="7275774C" w14:textId="77777777" w:rsidR="0091726F" w:rsidRDefault="0091726F">
      <w:pPr>
        <w:spacing w:after="0"/>
        <w:rPr>
          <w:lang w:val="ru-RU"/>
        </w:rPr>
      </w:pPr>
    </w:p>
    <w:p w14:paraId="1F6EA076" w14:textId="77777777" w:rsidR="0091726F" w:rsidRDefault="0091726F">
      <w:pPr>
        <w:spacing w:after="0"/>
        <w:rPr>
          <w:lang w:val="ru-RU"/>
        </w:rPr>
      </w:pPr>
    </w:p>
    <w:p w14:paraId="720EA076" w14:textId="77777777" w:rsidR="0091726F" w:rsidRDefault="0091726F">
      <w:pPr>
        <w:spacing w:after="0"/>
        <w:rPr>
          <w:lang w:val="ru-RU"/>
        </w:rPr>
      </w:pPr>
    </w:p>
    <w:p w14:paraId="362EC7A7" w14:textId="77777777" w:rsidR="0091726F" w:rsidRDefault="0091726F">
      <w:pPr>
        <w:spacing w:after="0"/>
        <w:rPr>
          <w:lang w:val="ru-RU"/>
        </w:rPr>
      </w:pPr>
    </w:p>
    <w:p w14:paraId="3BAE2404" w14:textId="77777777" w:rsidR="0091726F" w:rsidRDefault="0091726F">
      <w:pPr>
        <w:spacing w:after="0"/>
        <w:rPr>
          <w:lang w:val="ru-RU"/>
        </w:rPr>
      </w:pPr>
    </w:p>
    <w:p w14:paraId="22A878D5" w14:textId="77777777" w:rsidR="0091726F" w:rsidRDefault="0091726F">
      <w:pPr>
        <w:spacing w:after="0"/>
        <w:rPr>
          <w:lang w:val="ru-RU"/>
        </w:rPr>
      </w:pPr>
    </w:p>
    <w:p w14:paraId="343052E1" w14:textId="77777777" w:rsidR="0091726F" w:rsidRDefault="0091726F">
      <w:pPr>
        <w:spacing w:after="0"/>
        <w:rPr>
          <w:lang w:val="ru-RU"/>
        </w:rPr>
      </w:pPr>
    </w:p>
    <w:p w14:paraId="3CE850DD" w14:textId="77777777" w:rsidR="0091726F" w:rsidRDefault="0091726F">
      <w:pPr>
        <w:spacing w:after="0"/>
        <w:rPr>
          <w:lang w:val="ru-RU"/>
        </w:rPr>
      </w:pPr>
    </w:p>
    <w:p w14:paraId="377300EF" w14:textId="77777777" w:rsidR="0091726F" w:rsidRDefault="0091726F">
      <w:pPr>
        <w:spacing w:after="0"/>
        <w:rPr>
          <w:lang w:val="ru-RU"/>
        </w:rPr>
      </w:pPr>
    </w:p>
    <w:p w14:paraId="51F791B6" w14:textId="77777777" w:rsidR="0091726F" w:rsidRDefault="0091726F">
      <w:pPr>
        <w:spacing w:after="0"/>
        <w:rPr>
          <w:lang w:val="ru-RU"/>
        </w:rPr>
      </w:pPr>
    </w:p>
    <w:p w14:paraId="219DD87F" w14:textId="77777777" w:rsidR="0091726F" w:rsidRDefault="0091726F">
      <w:pPr>
        <w:spacing w:after="0"/>
        <w:rPr>
          <w:lang w:val="ru-RU"/>
        </w:rPr>
      </w:pPr>
    </w:p>
    <w:p w14:paraId="3F8750C3" w14:textId="77777777" w:rsidR="0091726F" w:rsidRDefault="0091726F">
      <w:pPr>
        <w:spacing w:after="0"/>
        <w:rPr>
          <w:lang w:val="ru-RU"/>
        </w:rPr>
      </w:pPr>
    </w:p>
    <w:p w14:paraId="45320D66" w14:textId="77777777" w:rsidR="0091726F" w:rsidRDefault="0091726F">
      <w:pPr>
        <w:spacing w:after="0"/>
        <w:rPr>
          <w:lang w:val="ru-RU"/>
        </w:rPr>
      </w:pPr>
    </w:p>
    <w:p w14:paraId="2C38E39D" w14:textId="77777777" w:rsidR="0091726F" w:rsidRDefault="0091726F">
      <w:pPr>
        <w:spacing w:after="0"/>
        <w:rPr>
          <w:lang w:val="ru-RU"/>
        </w:rPr>
      </w:pPr>
    </w:p>
    <w:p w14:paraId="1D80C48C" w14:textId="77777777" w:rsidR="0091726F" w:rsidRDefault="0091726F">
      <w:pPr>
        <w:spacing w:after="0"/>
      </w:pPr>
    </w:p>
    <w:p w14:paraId="7000DF69" w14:textId="77777777" w:rsidR="0091726F" w:rsidRDefault="0091726F">
      <w:pPr>
        <w:spacing w:after="0"/>
      </w:pPr>
    </w:p>
    <w:p w14:paraId="6C87B3F5" w14:textId="77777777" w:rsidR="0091726F" w:rsidRDefault="0091726F">
      <w:pPr>
        <w:spacing w:after="0"/>
      </w:pPr>
    </w:p>
    <w:sectPr w:rsidR="0091726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134" w:header="709" w:footer="4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3EBB" w14:textId="77777777" w:rsidR="0011009C" w:rsidRDefault="0011009C">
      <w:pPr>
        <w:spacing w:after="0" w:line="240" w:lineRule="auto"/>
      </w:pPr>
      <w:r>
        <w:separator/>
      </w:r>
    </w:p>
  </w:endnote>
  <w:endnote w:type="continuationSeparator" w:id="0">
    <w:p w14:paraId="459F69BE" w14:textId="77777777" w:rsidR="0011009C" w:rsidRDefault="0011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0CAE" w14:textId="77777777" w:rsidR="0091726F" w:rsidRDefault="009172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33AC" w14:textId="77777777" w:rsidR="0091726F" w:rsidRDefault="00000000">
    <w:pPr>
      <w:spacing w:after="0"/>
    </w:pPr>
    <w:r>
      <w:rPr>
        <w:noProof/>
      </w:rPr>
      <mc:AlternateContent>
        <mc:Choice Requires="wpg">
          <w:drawing>
            <wp:inline distT="0" distB="0" distL="0" distR="0" wp14:anchorId="369AE688" wp14:editId="6F8AC38C">
              <wp:extent cx="685800" cy="6858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85800" cy="68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4.0pt;height:54.0pt;" stroked="false">
              <v:path textboxrect="0,0,0,0"/>
              <v:imagedata r:id="rId2" o:title=""/>
            </v:shape>
          </w:pict>
        </mc:Fallback>
      </mc:AlternateContent>
    </w:r>
  </w:p>
  <w:p w14:paraId="5A21FEB6" w14:textId="77777777" w:rsidR="0091726F" w:rsidRPr="008F194B" w:rsidRDefault="00000000">
    <w:pPr>
      <w:spacing w:after="0"/>
      <w:jc w:val="both"/>
      <w:rPr>
        <w:lang w:val="ru-RU"/>
      </w:rPr>
    </w:pPr>
    <w:r w:rsidRPr="008F194B">
      <w:rPr>
        <w:sz w:val="10"/>
        <w:lang w:val="ru-RU"/>
      </w:rPr>
      <w:t>Издатель ЭЦП - ҰЛТТЫҚ КУӘЛАНДЫРУШЫ ОРТАЛЫҚ (</w:t>
    </w:r>
    <w:r>
      <w:rPr>
        <w:sz w:val="10"/>
      </w:rPr>
      <w:t>GOST</w:t>
    </w:r>
    <w:r w:rsidRPr="008F194B">
      <w:rPr>
        <w:sz w:val="10"/>
        <w:lang w:val="ru-RU"/>
      </w:rPr>
      <w:t xml:space="preserve">), СУЛТАНГАЗИЕВА СВЕТЛАНА, НЕКОММЕРЧЕСКОЕ АКЦИОНЕРНОЕ ОБЩЕСТВО "КАЗАХСКИЙ НАЦИОНАЛЬНЫЙ МЕДИЦИНСКИЙ УНИВЕРСИТЕТ ИМЕНИ С. Д. АСФЕНДИЯРОВА", </w:t>
    </w:r>
    <w:r>
      <w:rPr>
        <w:sz w:val="10"/>
      </w:rPr>
      <w:t>BIN</w:t>
    </w:r>
    <w:r w:rsidRPr="008F194B">
      <w:rPr>
        <w:sz w:val="10"/>
        <w:lang w:val="ru-RU"/>
      </w:rPr>
      <w:t xml:space="preserve">181240006407      </w:t>
    </w:r>
    <w:r>
      <w:rPr>
        <w:sz w:val="10"/>
      </w:rPr>
      <w:t>https</w:t>
    </w:r>
    <w:r w:rsidRPr="008F194B">
      <w:rPr>
        <w:sz w:val="10"/>
        <w:lang w:val="ru-RU"/>
      </w:rPr>
      <w:t>://</w:t>
    </w:r>
    <w:r>
      <w:rPr>
        <w:sz w:val="10"/>
      </w:rPr>
      <w:t>short</w:t>
    </w:r>
    <w:r w:rsidRPr="008F194B">
      <w:rPr>
        <w:sz w:val="10"/>
        <w:lang w:val="ru-RU"/>
      </w:rPr>
      <w:t>.</w:t>
    </w:r>
    <w:proofErr w:type="spellStart"/>
    <w:r>
      <w:rPr>
        <w:sz w:val="10"/>
      </w:rPr>
      <w:t>kaznmu</w:t>
    </w:r>
    <w:proofErr w:type="spellEnd"/>
    <w:r w:rsidRPr="008F194B">
      <w:rPr>
        <w:sz w:val="10"/>
        <w:lang w:val="ru-RU"/>
      </w:rPr>
      <w:t>.</w:t>
    </w:r>
    <w:proofErr w:type="spellStart"/>
    <w:r>
      <w:rPr>
        <w:sz w:val="10"/>
      </w:rPr>
      <w:t>kz</w:t>
    </w:r>
    <w:proofErr w:type="spellEnd"/>
    <w:r w:rsidRPr="008F194B">
      <w:rPr>
        <w:sz w:val="10"/>
        <w:lang w:val="ru-RU"/>
      </w:rPr>
      <w:t>/</w:t>
    </w:r>
    <w:proofErr w:type="spellStart"/>
    <w:r>
      <w:rPr>
        <w:sz w:val="10"/>
      </w:rPr>
      <w:t>fXl</w:t>
    </w:r>
    <w:proofErr w:type="spellEnd"/>
    <w:r w:rsidRPr="008F194B">
      <w:rPr>
        <w:sz w:val="10"/>
        <w:lang w:val="ru-RU"/>
      </w:rPr>
      <w:t>65</w:t>
    </w:r>
    <w:r>
      <w:rPr>
        <w:sz w:val="10"/>
      </w:rPr>
      <w:t>Z</w:t>
    </w:r>
  </w:p>
  <w:p w14:paraId="653572EB" w14:textId="77777777" w:rsidR="0091726F" w:rsidRPr="008F194B" w:rsidRDefault="00000000">
    <w:pPr>
      <w:spacing w:after="0"/>
      <w:jc w:val="both"/>
      <w:rPr>
        <w:lang w:val="ru-RU"/>
      </w:rPr>
    </w:pPr>
    <w:r w:rsidRPr="008F194B">
      <w:rPr>
        <w:sz w:val="10"/>
        <w:lang w:val="ru-RU"/>
      </w:rPr>
      <w:t xml:space="preserve">Электрондық құжатты тексеру үшін: </w:t>
    </w:r>
    <w:r>
      <w:rPr>
        <w:sz w:val="10"/>
      </w:rPr>
      <w:t>https</w:t>
    </w:r>
    <w:r w:rsidRPr="008F194B">
      <w:rPr>
        <w:sz w:val="10"/>
        <w:lang w:val="ru-RU"/>
      </w:rPr>
      <w:t>://</w:t>
    </w:r>
    <w:proofErr w:type="spellStart"/>
    <w:r>
      <w:rPr>
        <w:sz w:val="10"/>
      </w:rPr>
      <w:t>salemoffice</w:t>
    </w:r>
    <w:proofErr w:type="spellEnd"/>
    <w:r w:rsidRPr="008F194B">
      <w:rPr>
        <w:sz w:val="10"/>
        <w:lang w:val="ru-RU"/>
      </w:rPr>
      <w:t>.</w:t>
    </w:r>
    <w:proofErr w:type="spellStart"/>
    <w:r>
      <w:rPr>
        <w:sz w:val="10"/>
      </w:rPr>
      <w:t>kaznmu</w:t>
    </w:r>
    <w:proofErr w:type="spellEnd"/>
    <w:r w:rsidRPr="008F194B">
      <w:rPr>
        <w:sz w:val="10"/>
        <w:lang w:val="ru-RU"/>
      </w:rPr>
      <w:t>.</w:t>
    </w:r>
    <w:proofErr w:type="spellStart"/>
    <w:r>
      <w:rPr>
        <w:sz w:val="10"/>
      </w:rPr>
      <w:t>edu</w:t>
    </w:r>
    <w:proofErr w:type="spellEnd"/>
    <w:r w:rsidRPr="008F194B">
      <w:rPr>
        <w:sz w:val="10"/>
        <w:lang w:val="ru-RU"/>
      </w:rPr>
      <w:t>.</w:t>
    </w:r>
    <w:proofErr w:type="spellStart"/>
    <w:r>
      <w:rPr>
        <w:sz w:val="10"/>
      </w:rPr>
      <w:t>kz</w:t>
    </w:r>
    <w:proofErr w:type="spellEnd"/>
    <w:r w:rsidRPr="008F194B">
      <w:rPr>
        <w:sz w:val="10"/>
        <w:lang w:val="ru-RU"/>
      </w:rPr>
      <w:t>/</w:t>
    </w:r>
    <w:r>
      <w:rPr>
        <w:sz w:val="10"/>
      </w:rPr>
      <w:t>verify</w:t>
    </w:r>
    <w:r w:rsidRPr="008F194B">
      <w:rPr>
        <w:sz w:val="10"/>
        <w:lang w:val="ru-RU"/>
      </w:rPr>
      <w:t xml:space="preserve"> мекен-жайына өтіп, қажетті жолдарды толтырыңыз. Электрондық құжаттың көшірмесін тексеру үшін қысқа сілтемеге өтіңіз немесе </w:t>
    </w:r>
    <w:r>
      <w:rPr>
        <w:sz w:val="10"/>
      </w:rPr>
      <w:t>QR</w:t>
    </w:r>
    <w:r w:rsidRPr="008F194B">
      <w:rPr>
        <w:sz w:val="10"/>
        <w:lang w:val="ru-RU"/>
      </w:rPr>
      <w:t xml:space="preserve"> код арқылы оқыңыз. Бұл құжат, «Электрондық құжат және электрондық цифрлық қолтаңба туралы» Қазақстан Республикасының 2003 жылғы 7 қаңтарда шыққан Заңының 7-бабының 1-тармағына сәйкес, қағаз құжатпен тең дәрежелі болып табылады. / Для проверки электронного документа перейдите по адресу: </w:t>
    </w:r>
    <w:r>
      <w:rPr>
        <w:sz w:val="10"/>
      </w:rPr>
      <w:t>https</w:t>
    </w:r>
    <w:r w:rsidRPr="008F194B">
      <w:rPr>
        <w:sz w:val="10"/>
        <w:lang w:val="ru-RU"/>
      </w:rPr>
      <w:t>://</w:t>
    </w:r>
    <w:proofErr w:type="spellStart"/>
    <w:r>
      <w:rPr>
        <w:sz w:val="10"/>
      </w:rPr>
      <w:t>salemoffice</w:t>
    </w:r>
    <w:proofErr w:type="spellEnd"/>
    <w:r w:rsidRPr="008F194B">
      <w:rPr>
        <w:sz w:val="10"/>
        <w:lang w:val="ru-RU"/>
      </w:rPr>
      <w:t>.</w:t>
    </w:r>
    <w:proofErr w:type="spellStart"/>
    <w:r>
      <w:rPr>
        <w:sz w:val="10"/>
      </w:rPr>
      <w:t>kaznmu</w:t>
    </w:r>
    <w:proofErr w:type="spellEnd"/>
    <w:r w:rsidRPr="008F194B">
      <w:rPr>
        <w:sz w:val="10"/>
        <w:lang w:val="ru-RU"/>
      </w:rPr>
      <w:t>.</w:t>
    </w:r>
    <w:proofErr w:type="spellStart"/>
    <w:r>
      <w:rPr>
        <w:sz w:val="10"/>
      </w:rPr>
      <w:t>edu</w:t>
    </w:r>
    <w:proofErr w:type="spellEnd"/>
    <w:r w:rsidRPr="008F194B">
      <w:rPr>
        <w:sz w:val="10"/>
        <w:lang w:val="ru-RU"/>
      </w:rPr>
      <w:t>.</w:t>
    </w:r>
    <w:proofErr w:type="spellStart"/>
    <w:r>
      <w:rPr>
        <w:sz w:val="10"/>
      </w:rPr>
      <w:t>kz</w:t>
    </w:r>
    <w:proofErr w:type="spellEnd"/>
    <w:r w:rsidRPr="008F194B">
      <w:rPr>
        <w:sz w:val="10"/>
        <w:lang w:val="ru-RU"/>
      </w:rPr>
      <w:t>/</w:t>
    </w:r>
    <w:r>
      <w:rPr>
        <w:sz w:val="10"/>
      </w:rPr>
      <w:t>verify</w:t>
    </w:r>
    <w:r w:rsidRPr="008F194B">
      <w:rPr>
        <w:sz w:val="10"/>
        <w:lang w:val="ru-RU"/>
      </w:rPr>
      <w:t xml:space="preserve"> и заполните необходимые поля. Для проверки копии электронного документа перейдите по короткой ссылке или считайте </w:t>
    </w:r>
    <w:r>
      <w:rPr>
        <w:sz w:val="10"/>
      </w:rPr>
      <w:t>QR</w:t>
    </w:r>
    <w:r w:rsidRPr="008F194B">
      <w:rPr>
        <w:sz w:val="10"/>
        <w:lang w:val="ru-RU"/>
      </w:rPr>
      <w:t xml:space="preserve"> код. 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носителе.</w:t>
    </w:r>
  </w:p>
  <w:p w14:paraId="4E86834D" w14:textId="77777777" w:rsidR="0091726F" w:rsidRPr="008F194B" w:rsidRDefault="0091726F">
    <w:pPr>
      <w:pStyle w:val="ab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7BA3" w14:textId="77777777" w:rsidR="0091726F" w:rsidRDefault="0091726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A628" w14:textId="77777777" w:rsidR="0011009C" w:rsidRDefault="0011009C">
      <w:pPr>
        <w:spacing w:after="0" w:line="240" w:lineRule="auto"/>
      </w:pPr>
      <w:r>
        <w:separator/>
      </w:r>
    </w:p>
  </w:footnote>
  <w:footnote w:type="continuationSeparator" w:id="0">
    <w:p w14:paraId="7CA426CB" w14:textId="77777777" w:rsidR="0011009C" w:rsidRDefault="0011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040E" w14:textId="77777777" w:rsidR="0091726F" w:rsidRDefault="009172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CC8D" w14:textId="77777777" w:rsidR="0091726F" w:rsidRDefault="0091726F">
    <w:pPr>
      <w:pStyle w:val="a9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D477" w14:textId="77777777" w:rsidR="0091726F" w:rsidRDefault="0091726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6F"/>
    <w:rsid w:val="0011009C"/>
    <w:rsid w:val="008F194B"/>
    <w:rsid w:val="0091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A2CD"/>
  <w15:docId w15:val="{9C4917BF-7FCC-4C06-9FDC-D96E48DE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2023-08-21T04:19:00Z</dcterms:created>
  <dcterms:modified xsi:type="dcterms:W3CDTF">2023-08-21T04:19:00Z</dcterms:modified>
</cp:coreProperties>
</file>